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F2D22" w14:textId="36DF75AE" w:rsidR="005859F4" w:rsidRPr="00E15BEB" w:rsidRDefault="005859F4" w:rsidP="00E15BEB">
      <w:pPr>
        <w:jc w:val="center"/>
        <w:rPr>
          <w:rFonts w:ascii="ＭＳ ゴシック" w:eastAsia="ＭＳ ゴシック" w:hAnsi="ＭＳ ゴシック"/>
          <w:sz w:val="28"/>
          <w:szCs w:val="28"/>
        </w:rPr>
      </w:pPr>
      <w:r w:rsidRPr="00E15BEB">
        <w:rPr>
          <w:rFonts w:ascii="ＭＳ ゴシック" w:eastAsia="ＭＳ ゴシック" w:hAnsi="ＭＳ ゴシック" w:hint="eastAsia"/>
          <w:sz w:val="28"/>
          <w:szCs w:val="28"/>
        </w:rPr>
        <w:t>令和</w:t>
      </w:r>
      <w:r w:rsidR="009E70BD">
        <w:rPr>
          <w:rFonts w:ascii="ＭＳ ゴシック" w:eastAsia="ＭＳ ゴシック" w:hAnsi="ＭＳ ゴシック" w:hint="eastAsia"/>
          <w:sz w:val="28"/>
          <w:szCs w:val="28"/>
        </w:rPr>
        <w:t>８</w:t>
      </w:r>
      <w:r w:rsidRPr="00E15BEB">
        <w:rPr>
          <w:rFonts w:ascii="ＭＳ ゴシック" w:eastAsia="ＭＳ ゴシック" w:hAnsi="ＭＳ ゴシック" w:hint="eastAsia"/>
          <w:sz w:val="28"/>
          <w:szCs w:val="28"/>
        </w:rPr>
        <w:t>年度　学生による地域フィールドワーク研究助成　中間報告書</w:t>
      </w:r>
    </w:p>
    <w:p w14:paraId="2BB36D96" w14:textId="77777777" w:rsidR="005859F4" w:rsidRDefault="005859F4">
      <w:pPr>
        <w:rPr>
          <w:rFonts w:ascii="ＭＳ ゴシック" w:eastAsia="ＭＳ ゴシック" w:hAnsi="ＭＳ ゴシック"/>
          <w:sz w:val="24"/>
          <w:szCs w:val="24"/>
        </w:rPr>
      </w:pPr>
    </w:p>
    <w:p w14:paraId="1D7FCD44" w14:textId="4DEBF562" w:rsidR="005859F4" w:rsidRDefault="005859F4" w:rsidP="00E15BEB">
      <w:pPr>
        <w:ind w:firstLineChars="2500" w:firstLine="6000"/>
        <w:rPr>
          <w:rFonts w:ascii="ＭＳ ゴシック" w:eastAsia="ＭＳ ゴシック" w:hAnsi="ＭＳ ゴシック"/>
          <w:sz w:val="24"/>
          <w:szCs w:val="24"/>
          <w:u w:val="single"/>
          <w:lang w:eastAsia="zh-CN"/>
        </w:rPr>
      </w:pPr>
      <w:r w:rsidRPr="00E15BEB">
        <w:rPr>
          <w:rFonts w:ascii="ＭＳ ゴシック" w:eastAsia="ＭＳ ゴシック" w:hAnsi="ＭＳ ゴシック" w:hint="eastAsia"/>
          <w:sz w:val="24"/>
          <w:szCs w:val="24"/>
          <w:u w:val="single"/>
          <w:lang w:eastAsia="zh-CN"/>
        </w:rPr>
        <w:t xml:space="preserve">大学等名：　</w:t>
      </w:r>
      <w:r w:rsidR="00004713">
        <w:rPr>
          <w:rFonts w:ascii="ＭＳ ゴシック" w:eastAsia="ＭＳ ゴシック" w:hAnsi="ＭＳ ゴシック" w:hint="eastAsia"/>
          <w:sz w:val="24"/>
          <w:szCs w:val="24"/>
          <w:u w:val="single"/>
          <w:lang w:eastAsia="zh-CN"/>
        </w:rPr>
        <w:t>富山大学</w:t>
      </w:r>
      <w:r w:rsidRPr="00E15BEB">
        <w:rPr>
          <w:rFonts w:ascii="ＭＳ ゴシック" w:eastAsia="ＭＳ ゴシック" w:hAnsi="ＭＳ ゴシック" w:hint="eastAsia"/>
          <w:sz w:val="24"/>
          <w:szCs w:val="24"/>
          <w:u w:val="single"/>
          <w:lang w:eastAsia="zh-CN"/>
        </w:rPr>
        <w:t xml:space="preserve">　</w:t>
      </w:r>
      <w:r w:rsidR="00C92B3F">
        <w:rPr>
          <w:rFonts w:ascii="ＭＳ ゴシック" w:eastAsia="ＭＳ ゴシック" w:hAnsi="ＭＳ ゴシック" w:hint="eastAsia"/>
          <w:sz w:val="24"/>
          <w:szCs w:val="24"/>
          <w:u w:val="single"/>
          <w:lang w:eastAsia="zh-CN"/>
        </w:rPr>
        <w:t xml:space="preserve">　　　 　　　</w:t>
      </w:r>
      <w:r w:rsidR="007C6EDE">
        <w:rPr>
          <w:rFonts w:ascii="ＭＳ ゴシック" w:eastAsia="ＭＳ ゴシック" w:hAnsi="ＭＳ ゴシック" w:hint="eastAsia"/>
          <w:sz w:val="24"/>
          <w:szCs w:val="24"/>
          <w:u w:val="single"/>
          <w:lang w:eastAsia="zh-CN"/>
        </w:rPr>
        <w:t xml:space="preserve"> </w:t>
      </w:r>
      <w:r w:rsidRPr="00E15BEB">
        <w:rPr>
          <w:rFonts w:ascii="ＭＳ ゴシック" w:eastAsia="ＭＳ ゴシック" w:hAnsi="ＭＳ ゴシック" w:hint="eastAsia"/>
          <w:sz w:val="24"/>
          <w:szCs w:val="24"/>
          <w:u w:val="single"/>
          <w:lang w:eastAsia="zh-CN"/>
        </w:rPr>
        <w:t xml:space="preserve">　</w:t>
      </w:r>
    </w:p>
    <w:p w14:paraId="4AF25EE7" w14:textId="01C1925D" w:rsidR="005859F4" w:rsidRPr="00E15BEB" w:rsidRDefault="005859F4" w:rsidP="00E15BEB">
      <w:pPr>
        <w:ind w:firstLineChars="2500" w:firstLine="6000"/>
        <w:rPr>
          <w:rFonts w:ascii="ＭＳ ゴシック" w:eastAsia="ＭＳ ゴシック" w:hAnsi="ＭＳ ゴシック"/>
          <w:sz w:val="24"/>
          <w:szCs w:val="24"/>
          <w:u w:val="single"/>
          <w:lang w:eastAsia="zh-CN"/>
        </w:rPr>
      </w:pPr>
      <w:r w:rsidRPr="00E15BEB">
        <w:rPr>
          <w:rFonts w:ascii="ＭＳ ゴシック" w:eastAsia="ＭＳ ゴシック" w:hAnsi="ＭＳ ゴシック" w:hint="eastAsia"/>
          <w:sz w:val="24"/>
          <w:szCs w:val="24"/>
          <w:u w:val="single"/>
          <w:lang w:eastAsia="zh-CN"/>
        </w:rPr>
        <w:t xml:space="preserve">代表学生：　</w:t>
      </w:r>
      <w:r w:rsidR="00004713">
        <w:rPr>
          <w:rFonts w:ascii="ＭＳ ゴシック" w:eastAsia="ＭＳ ゴシック" w:hAnsi="ＭＳ ゴシック" w:hint="eastAsia"/>
          <w:sz w:val="24"/>
          <w:szCs w:val="24"/>
          <w:u w:val="single"/>
          <w:lang w:eastAsia="zh-CN"/>
        </w:rPr>
        <w:t>城岸美千花</w:t>
      </w:r>
      <w:r w:rsidR="00C92B3F">
        <w:rPr>
          <w:rFonts w:ascii="ＭＳ ゴシック" w:eastAsia="ＭＳ ゴシック" w:hAnsi="ＭＳ ゴシック" w:hint="eastAsia"/>
          <w:sz w:val="24"/>
          <w:szCs w:val="24"/>
          <w:u w:val="single"/>
          <w:lang w:eastAsia="zh-CN"/>
        </w:rPr>
        <w:t xml:space="preserve">　　　　　</w:t>
      </w:r>
      <w:r w:rsidRPr="00E15BEB">
        <w:rPr>
          <w:rFonts w:ascii="ＭＳ ゴシック" w:eastAsia="ＭＳ ゴシック" w:hAnsi="ＭＳ ゴシック" w:hint="eastAsia"/>
          <w:sz w:val="24"/>
          <w:szCs w:val="24"/>
          <w:u w:val="single"/>
          <w:lang w:eastAsia="zh-CN"/>
        </w:rPr>
        <w:t xml:space="preserve">　　　　</w:t>
      </w:r>
    </w:p>
    <w:p w14:paraId="4F2F9C68" w14:textId="13391D52" w:rsidR="005859F4" w:rsidRPr="00E15BEB" w:rsidRDefault="005859F4" w:rsidP="00004713">
      <w:pPr>
        <w:ind w:firstLineChars="2500" w:firstLine="6000"/>
        <w:rPr>
          <w:rFonts w:ascii="ＭＳ ゴシック" w:eastAsia="ＭＳ ゴシック" w:hAnsi="ＭＳ ゴシック"/>
          <w:sz w:val="24"/>
          <w:szCs w:val="24"/>
          <w:u w:val="single"/>
        </w:rPr>
      </w:pPr>
      <w:r w:rsidRPr="00E15BEB">
        <w:rPr>
          <w:rFonts w:ascii="ＭＳ ゴシック" w:eastAsia="ＭＳ ゴシック" w:hAnsi="ＭＳ ゴシック" w:hint="eastAsia"/>
          <w:sz w:val="24"/>
          <w:szCs w:val="24"/>
          <w:u w:val="single"/>
        </w:rPr>
        <w:t>指導教員：</w:t>
      </w:r>
      <w:r w:rsidR="00C92B3F">
        <w:rPr>
          <w:rFonts w:ascii="ＭＳ ゴシック" w:eastAsia="ＭＳ ゴシック" w:hAnsi="ＭＳ ゴシック" w:hint="eastAsia"/>
          <w:sz w:val="24"/>
          <w:szCs w:val="24"/>
          <w:u w:val="single"/>
        </w:rPr>
        <w:t xml:space="preserve">　</w:t>
      </w:r>
      <w:r w:rsidR="00004713">
        <w:rPr>
          <w:rFonts w:ascii="ＭＳ ゴシック" w:eastAsia="ＭＳ ゴシック" w:hAnsi="ＭＳ ゴシック" w:hint="eastAsia"/>
          <w:sz w:val="24"/>
          <w:szCs w:val="24"/>
          <w:u w:val="single"/>
        </w:rPr>
        <w:t>和田直也</w:t>
      </w:r>
      <w:r w:rsidR="00C92B3F">
        <w:rPr>
          <w:rFonts w:ascii="ＭＳ ゴシック" w:eastAsia="ＭＳ ゴシック" w:hAnsi="ＭＳ ゴシック" w:hint="eastAsia"/>
          <w:sz w:val="24"/>
          <w:szCs w:val="24"/>
          <w:u w:val="single"/>
        </w:rPr>
        <w:t xml:space="preserve">　　　　</w:t>
      </w:r>
      <w:r w:rsidR="00A9539D">
        <w:rPr>
          <w:rFonts w:ascii="ＭＳ ゴシック" w:eastAsia="ＭＳ ゴシック" w:hAnsi="ＭＳ ゴシック" w:hint="eastAsia"/>
          <w:sz w:val="24"/>
          <w:szCs w:val="24"/>
          <w:u w:val="single"/>
        </w:rPr>
        <w:t xml:space="preserve">　</w:t>
      </w:r>
      <w:r w:rsidRPr="00E15BEB">
        <w:rPr>
          <w:rFonts w:ascii="ＭＳ ゴシック" w:eastAsia="ＭＳ ゴシック" w:hAnsi="ＭＳ ゴシック" w:hint="eastAsia"/>
          <w:sz w:val="24"/>
          <w:szCs w:val="24"/>
          <w:u w:val="single"/>
        </w:rPr>
        <w:t xml:space="preserve">　　　　</w:t>
      </w:r>
    </w:p>
    <w:p w14:paraId="70902F79" w14:textId="77777777" w:rsidR="00E15BEB" w:rsidRPr="00E15BEB" w:rsidRDefault="00E15BEB">
      <w:pPr>
        <w:rPr>
          <w:rFonts w:ascii="ＭＳ ゴシック" w:eastAsia="ＭＳ ゴシック" w:hAnsi="ＭＳ ゴシック"/>
          <w:sz w:val="24"/>
          <w:szCs w:val="24"/>
        </w:rPr>
      </w:pPr>
    </w:p>
    <w:tbl>
      <w:tblPr>
        <w:tblStyle w:val="a3"/>
        <w:tblW w:w="0" w:type="auto"/>
        <w:tblLook w:val="04A0" w:firstRow="1" w:lastRow="0" w:firstColumn="1" w:lastColumn="0" w:noHBand="0" w:noVBand="1"/>
      </w:tblPr>
      <w:tblGrid>
        <w:gridCol w:w="2972"/>
        <w:gridCol w:w="6764"/>
      </w:tblGrid>
      <w:tr w:rsidR="005859F4" w:rsidRPr="00E15BEB" w14:paraId="484E7A05" w14:textId="77777777" w:rsidTr="00D90D1D">
        <w:tc>
          <w:tcPr>
            <w:tcW w:w="2972" w:type="dxa"/>
          </w:tcPr>
          <w:p w14:paraId="78E33CD0" w14:textId="77777777" w:rsidR="00A9539D" w:rsidRPr="00E15BEB" w:rsidRDefault="00A9539D" w:rsidP="007C6EDE">
            <w:pPr>
              <w:rPr>
                <w:rFonts w:ascii="ＭＳ ゴシック" w:eastAsia="ＭＳ ゴシック" w:hAnsi="ＭＳ ゴシック"/>
                <w:sz w:val="24"/>
                <w:szCs w:val="24"/>
              </w:rPr>
            </w:pPr>
          </w:p>
          <w:p w14:paraId="40A0E34F" w14:textId="77777777" w:rsidR="005859F4" w:rsidRPr="00E15BEB" w:rsidRDefault="005859F4" w:rsidP="005859F4">
            <w:pPr>
              <w:jc w:val="center"/>
              <w:rPr>
                <w:rFonts w:ascii="ＭＳ ゴシック" w:eastAsia="ＭＳ ゴシック" w:hAnsi="ＭＳ ゴシック"/>
                <w:sz w:val="24"/>
                <w:szCs w:val="24"/>
              </w:rPr>
            </w:pPr>
            <w:r w:rsidRPr="00E15BEB">
              <w:rPr>
                <w:rFonts w:ascii="ＭＳ ゴシック" w:eastAsia="ＭＳ ゴシック" w:hAnsi="ＭＳ ゴシック" w:hint="eastAsia"/>
                <w:sz w:val="24"/>
                <w:szCs w:val="24"/>
              </w:rPr>
              <w:t>研</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究</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題</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目</w:t>
            </w:r>
          </w:p>
          <w:p w14:paraId="773D2F54" w14:textId="77777777" w:rsidR="00E15BEB" w:rsidRDefault="00A9539D" w:rsidP="005859F4">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（応募部門）</w:t>
            </w:r>
          </w:p>
          <w:p w14:paraId="014D9D5C" w14:textId="77777777" w:rsidR="00A9539D" w:rsidRPr="00E15BEB" w:rsidRDefault="00A9539D" w:rsidP="005859F4">
            <w:pPr>
              <w:jc w:val="center"/>
              <w:rPr>
                <w:rFonts w:ascii="ＭＳ ゴシック" w:eastAsia="ＭＳ ゴシック" w:hAnsi="ＭＳ ゴシック"/>
                <w:sz w:val="24"/>
                <w:szCs w:val="24"/>
              </w:rPr>
            </w:pPr>
          </w:p>
        </w:tc>
        <w:tc>
          <w:tcPr>
            <w:tcW w:w="6764" w:type="dxa"/>
          </w:tcPr>
          <w:p w14:paraId="30EE32B8" w14:textId="77777777" w:rsidR="00004713" w:rsidRDefault="00004713">
            <w:pPr>
              <w:rPr>
                <w:rFonts w:ascii="ＭＳ ゴシック" w:eastAsia="ＭＳ ゴシック" w:hAnsi="ＭＳ ゴシック"/>
                <w:sz w:val="24"/>
                <w:szCs w:val="24"/>
              </w:rPr>
            </w:pPr>
            <w:r w:rsidRPr="00004713">
              <w:rPr>
                <w:rFonts w:ascii="ＭＳ ゴシック" w:eastAsia="ＭＳ ゴシック" w:hAnsi="ＭＳ ゴシック"/>
                <w:sz w:val="24"/>
                <w:szCs w:val="24"/>
              </w:rPr>
              <w:t>非木材林産物の持続可能な利用と有効成分の評価</w:t>
            </w:r>
          </w:p>
          <w:p w14:paraId="199A7F02" w14:textId="4AB23027" w:rsidR="00596A16" w:rsidRDefault="00004713">
            <w:pPr>
              <w:rPr>
                <w:rFonts w:ascii="ＭＳ ゴシック" w:eastAsia="ＭＳ ゴシック" w:hAnsi="ＭＳ ゴシック"/>
                <w:sz w:val="24"/>
                <w:szCs w:val="24"/>
              </w:rPr>
            </w:pPr>
            <w:r w:rsidRPr="00004713">
              <w:rPr>
                <w:rFonts w:ascii="ＭＳ ゴシック" w:eastAsia="ＭＳ ゴシック" w:hAnsi="ＭＳ ゴシック"/>
                <w:sz w:val="24"/>
                <w:szCs w:val="24"/>
              </w:rPr>
              <w:t>―富山県南砺市利賀村におけるオオバクロモジを例に―</w:t>
            </w:r>
          </w:p>
          <w:p w14:paraId="57072620" w14:textId="39E82B88" w:rsidR="00C24C18" w:rsidRPr="00E15BEB" w:rsidRDefault="00C24C18">
            <w:pPr>
              <w:rPr>
                <w:rFonts w:ascii="ＭＳ ゴシック" w:eastAsia="ＭＳ ゴシック" w:hAnsi="ＭＳ ゴシック"/>
                <w:sz w:val="24"/>
                <w:szCs w:val="24"/>
              </w:rPr>
            </w:pPr>
          </w:p>
        </w:tc>
      </w:tr>
      <w:tr w:rsidR="005859F4" w:rsidRPr="00E15BEB" w14:paraId="5EEE882B" w14:textId="77777777" w:rsidTr="007C6EDE">
        <w:trPr>
          <w:trHeight w:val="2399"/>
        </w:trPr>
        <w:tc>
          <w:tcPr>
            <w:tcW w:w="2972" w:type="dxa"/>
          </w:tcPr>
          <w:p w14:paraId="05ABF2A1" w14:textId="77777777" w:rsidR="00E15BEB" w:rsidRDefault="00E15BEB" w:rsidP="00E15BEB">
            <w:pPr>
              <w:jc w:val="center"/>
              <w:rPr>
                <w:rFonts w:ascii="ＭＳ ゴシック" w:eastAsia="ＭＳ ゴシック" w:hAnsi="ＭＳ ゴシック"/>
                <w:sz w:val="24"/>
                <w:szCs w:val="24"/>
              </w:rPr>
            </w:pPr>
          </w:p>
          <w:p w14:paraId="3087B1AD" w14:textId="77777777" w:rsidR="005859F4" w:rsidRPr="00E15BEB" w:rsidRDefault="005859F4" w:rsidP="00E15BEB">
            <w:pPr>
              <w:jc w:val="center"/>
              <w:rPr>
                <w:rFonts w:ascii="ＭＳ ゴシック" w:eastAsia="ＭＳ ゴシック" w:hAnsi="ＭＳ ゴシック"/>
                <w:sz w:val="24"/>
                <w:szCs w:val="24"/>
              </w:rPr>
            </w:pPr>
            <w:r w:rsidRPr="00E15BEB">
              <w:rPr>
                <w:rFonts w:ascii="ＭＳ ゴシック" w:eastAsia="ＭＳ ゴシック" w:hAnsi="ＭＳ ゴシック" w:hint="eastAsia"/>
                <w:sz w:val="24"/>
                <w:szCs w:val="24"/>
              </w:rPr>
              <w:t>研</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究</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概</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要</w:t>
            </w:r>
          </w:p>
          <w:p w14:paraId="60B8139C" w14:textId="77777777" w:rsidR="00A9539D" w:rsidRPr="00E15BEB" w:rsidRDefault="00A9539D" w:rsidP="00E15BEB">
            <w:pPr>
              <w:jc w:val="center"/>
              <w:rPr>
                <w:rFonts w:ascii="ＭＳ ゴシック" w:eastAsia="ＭＳ ゴシック" w:hAnsi="ＭＳ ゴシック"/>
                <w:sz w:val="24"/>
                <w:szCs w:val="24"/>
              </w:rPr>
            </w:pPr>
          </w:p>
        </w:tc>
        <w:tc>
          <w:tcPr>
            <w:tcW w:w="6764" w:type="dxa"/>
          </w:tcPr>
          <w:p w14:paraId="10D538BE" w14:textId="1D8D8B0C" w:rsidR="005859F4" w:rsidRPr="00E15BEB" w:rsidRDefault="00004713">
            <w:pPr>
              <w:rPr>
                <w:rFonts w:ascii="ＭＳ ゴシック" w:eastAsia="ＭＳ ゴシック" w:hAnsi="ＭＳ ゴシック"/>
                <w:sz w:val="24"/>
                <w:szCs w:val="24"/>
              </w:rPr>
            </w:pPr>
            <w:r w:rsidRPr="00004713">
              <w:rPr>
                <w:rFonts w:ascii="ＭＳ ゴシック" w:eastAsia="ＭＳ ゴシック" w:hAnsi="ＭＳ ゴシック"/>
                <w:sz w:val="24"/>
                <w:szCs w:val="24"/>
              </w:rPr>
              <w:t>限界集落であ</w:t>
            </w:r>
            <w:r>
              <w:rPr>
                <w:rFonts w:ascii="ＭＳ ゴシック" w:eastAsia="ＭＳ ゴシック" w:hAnsi="ＭＳ ゴシック" w:hint="eastAsia"/>
                <w:sz w:val="24"/>
                <w:szCs w:val="24"/>
              </w:rPr>
              <w:t>る</w:t>
            </w:r>
            <w:r w:rsidRPr="00004713">
              <w:rPr>
                <w:rFonts w:ascii="ＭＳ ゴシック" w:eastAsia="ＭＳ ゴシック" w:hAnsi="ＭＳ ゴシック"/>
                <w:sz w:val="24"/>
                <w:szCs w:val="24"/>
              </w:rPr>
              <w:t>富山県南砺市利賀村</w:t>
            </w:r>
            <w:r>
              <w:rPr>
                <w:rFonts w:ascii="ＭＳ ゴシック" w:eastAsia="ＭＳ ゴシック" w:hAnsi="ＭＳ ゴシック" w:hint="eastAsia"/>
                <w:sz w:val="24"/>
                <w:szCs w:val="24"/>
              </w:rPr>
              <w:t>で</w:t>
            </w:r>
            <w:r w:rsidRPr="00004713">
              <w:rPr>
                <w:rFonts w:ascii="ＭＳ ゴシック" w:eastAsia="ＭＳ ゴシック" w:hAnsi="ＭＳ ゴシック"/>
                <w:sz w:val="24"/>
                <w:szCs w:val="24"/>
              </w:rPr>
              <w:t>は、地域振興の一環として、持続的利用が可能な非木材林産物であるオオバクロモジの枝を使った特産品が販売されている。一方、本種は主に天然林に分布しており、その資源量の推定が持続的利用のために必要である。さらに、有効成分とされるテルペン類の濃度がどの部位で最も高いのかといった基本的な情報も不足している。本研究では、オオバクロモジの持続的な利用を可能にするため、天然林における生育環境評価と資源量推定を行う。さらに、様々なサイズの枝を対象に精油抽出を行い、GC-MSを用いて成分分析を行う。</w:t>
            </w:r>
          </w:p>
        </w:tc>
      </w:tr>
      <w:tr w:rsidR="005859F4" w:rsidRPr="00E15BEB" w14:paraId="2B8BCF16" w14:textId="77777777" w:rsidTr="007C6EDE">
        <w:trPr>
          <w:trHeight w:val="4486"/>
        </w:trPr>
        <w:tc>
          <w:tcPr>
            <w:tcW w:w="2972" w:type="dxa"/>
          </w:tcPr>
          <w:p w14:paraId="7FEACDD5" w14:textId="77777777" w:rsidR="00E15BEB" w:rsidRPr="00E15BEB" w:rsidRDefault="00E15BEB" w:rsidP="00E15BEB">
            <w:pPr>
              <w:jc w:val="center"/>
              <w:rPr>
                <w:rFonts w:ascii="ＭＳ ゴシック" w:eastAsia="ＭＳ ゴシック" w:hAnsi="ＭＳ ゴシック"/>
                <w:sz w:val="24"/>
                <w:szCs w:val="24"/>
              </w:rPr>
            </w:pPr>
          </w:p>
          <w:p w14:paraId="6DE75A04" w14:textId="77777777" w:rsidR="00D90D1D" w:rsidRDefault="00A9539D" w:rsidP="00D90D1D">
            <w:pPr>
              <w:ind w:leftChars="100" w:left="210"/>
              <w:rPr>
                <w:rFonts w:ascii="ＭＳ ゴシック" w:eastAsia="ＭＳ ゴシック" w:hAnsi="ＭＳ ゴシック"/>
                <w:sz w:val="24"/>
                <w:szCs w:val="24"/>
              </w:rPr>
            </w:pPr>
            <w:r>
              <w:rPr>
                <w:rFonts w:ascii="ＭＳ ゴシック" w:eastAsia="ＭＳ ゴシック" w:hAnsi="ＭＳ ゴシック" w:hint="eastAsia"/>
                <w:sz w:val="24"/>
                <w:szCs w:val="24"/>
              </w:rPr>
              <w:t>これまでの活動状況と今後の活動予定</w:t>
            </w:r>
          </w:p>
          <w:p w14:paraId="5F752C2F" w14:textId="77777777" w:rsidR="00A9539D" w:rsidRDefault="00D90D1D" w:rsidP="00D90D1D">
            <w:pPr>
              <w:ind w:leftChars="100" w:left="210"/>
              <w:rPr>
                <w:rFonts w:ascii="ＭＳ ゴシック" w:eastAsia="ＭＳ ゴシック" w:hAnsi="ＭＳ ゴシック"/>
                <w:sz w:val="24"/>
                <w:szCs w:val="24"/>
              </w:rPr>
            </w:pPr>
            <w:r>
              <w:rPr>
                <w:rFonts w:ascii="ＭＳ ゴシック" w:eastAsia="ＭＳ ゴシック" w:hAnsi="ＭＳ ゴシック" w:hint="eastAsia"/>
                <w:sz w:val="24"/>
                <w:szCs w:val="24"/>
              </w:rPr>
              <w:t>（300字程度）</w:t>
            </w:r>
          </w:p>
          <w:p w14:paraId="2D2CF419" w14:textId="77777777" w:rsidR="00D90D1D" w:rsidRPr="00E15BEB" w:rsidRDefault="00D90D1D" w:rsidP="00A9539D">
            <w:pPr>
              <w:ind w:firstLineChars="100" w:firstLine="240"/>
              <w:rPr>
                <w:rFonts w:ascii="ＭＳ ゴシック" w:eastAsia="ＭＳ ゴシック" w:hAnsi="ＭＳ ゴシック"/>
                <w:sz w:val="24"/>
                <w:szCs w:val="24"/>
              </w:rPr>
            </w:pPr>
          </w:p>
          <w:p w14:paraId="309D2193" w14:textId="77777777" w:rsidR="00E15BEB" w:rsidRDefault="00E15BEB" w:rsidP="00E15BEB">
            <w:pPr>
              <w:jc w:val="center"/>
              <w:rPr>
                <w:rFonts w:ascii="ＭＳ ゴシック" w:eastAsia="ＭＳ ゴシック" w:hAnsi="ＭＳ ゴシック"/>
                <w:sz w:val="24"/>
                <w:szCs w:val="24"/>
              </w:rPr>
            </w:pPr>
          </w:p>
          <w:p w14:paraId="171DCA9D" w14:textId="77777777" w:rsidR="00E15BEB" w:rsidRDefault="00E15BEB" w:rsidP="00E15BEB">
            <w:pPr>
              <w:jc w:val="center"/>
              <w:rPr>
                <w:rFonts w:ascii="ＭＳ ゴシック" w:eastAsia="ＭＳ ゴシック" w:hAnsi="ＭＳ ゴシック"/>
                <w:sz w:val="24"/>
                <w:szCs w:val="24"/>
              </w:rPr>
            </w:pPr>
          </w:p>
          <w:p w14:paraId="6CF2A414" w14:textId="77777777" w:rsidR="00E15BEB" w:rsidRDefault="00E15BEB" w:rsidP="00E15BEB">
            <w:pPr>
              <w:jc w:val="center"/>
              <w:rPr>
                <w:rFonts w:ascii="ＭＳ ゴシック" w:eastAsia="ＭＳ ゴシック" w:hAnsi="ＭＳ ゴシック"/>
                <w:sz w:val="24"/>
                <w:szCs w:val="24"/>
              </w:rPr>
            </w:pPr>
          </w:p>
          <w:p w14:paraId="338D7233" w14:textId="77777777" w:rsidR="00E15BEB" w:rsidRDefault="00E15BEB" w:rsidP="00E15BEB">
            <w:pPr>
              <w:jc w:val="center"/>
              <w:rPr>
                <w:rFonts w:ascii="ＭＳ ゴシック" w:eastAsia="ＭＳ ゴシック" w:hAnsi="ＭＳ ゴシック"/>
                <w:sz w:val="24"/>
                <w:szCs w:val="24"/>
              </w:rPr>
            </w:pPr>
          </w:p>
          <w:p w14:paraId="5462EDC3" w14:textId="77777777" w:rsidR="00E15BEB" w:rsidRPr="00E15BEB" w:rsidRDefault="00E15BEB" w:rsidP="00E15BEB">
            <w:pPr>
              <w:jc w:val="center"/>
              <w:rPr>
                <w:rFonts w:ascii="ＭＳ ゴシック" w:eastAsia="ＭＳ ゴシック" w:hAnsi="ＭＳ ゴシック"/>
                <w:sz w:val="24"/>
                <w:szCs w:val="24"/>
              </w:rPr>
            </w:pPr>
          </w:p>
        </w:tc>
        <w:tc>
          <w:tcPr>
            <w:tcW w:w="6764" w:type="dxa"/>
          </w:tcPr>
          <w:p w14:paraId="16894795" w14:textId="6B37A618" w:rsidR="001C6399" w:rsidRPr="00E15BEB" w:rsidRDefault="008616A6" w:rsidP="008616A6">
            <w:pPr>
              <w:rPr>
                <w:rFonts w:ascii="ＭＳ ゴシック" w:eastAsia="ＭＳ ゴシック" w:hAnsi="ＭＳ ゴシック"/>
                <w:sz w:val="24"/>
                <w:szCs w:val="24"/>
              </w:rPr>
            </w:pPr>
            <w:r w:rsidRPr="008616A6">
              <w:rPr>
                <w:rFonts w:ascii="ＭＳ ゴシック" w:eastAsia="ＭＳ ゴシック" w:hAnsi="ＭＳ ゴシック"/>
                <w:sz w:val="24"/>
                <w:szCs w:val="24"/>
              </w:rPr>
              <w:t>5月から9月にかけて2～3週間に1</w:t>
            </w:r>
            <w:r w:rsidR="00F30431">
              <w:rPr>
                <w:rFonts w:ascii="ＭＳ ゴシック" w:eastAsia="ＭＳ ゴシック" w:hAnsi="ＭＳ ゴシック" w:hint="eastAsia"/>
                <w:sz w:val="24"/>
                <w:szCs w:val="24"/>
              </w:rPr>
              <w:t>回の</w:t>
            </w:r>
            <w:r w:rsidRPr="008616A6">
              <w:rPr>
                <w:rFonts w:ascii="ＭＳ ゴシック" w:eastAsia="ＭＳ ゴシック" w:hAnsi="ＭＳ ゴシック"/>
                <w:sz w:val="24"/>
                <w:szCs w:val="24"/>
              </w:rPr>
              <w:t>調査を行い、</w:t>
            </w:r>
            <w:r w:rsidR="00F30431">
              <w:rPr>
                <w:rFonts w:ascii="ＭＳ ゴシック" w:eastAsia="ＭＳ ゴシック" w:hAnsi="ＭＳ ゴシック" w:hint="eastAsia"/>
                <w:sz w:val="24"/>
                <w:szCs w:val="24"/>
              </w:rPr>
              <w:t>対象</w:t>
            </w:r>
            <w:r w:rsidRPr="008616A6">
              <w:rPr>
                <w:rFonts w:ascii="ＭＳ ゴシック" w:eastAsia="ＭＳ ゴシック" w:hAnsi="ＭＳ ゴシック"/>
                <w:sz w:val="24"/>
                <w:szCs w:val="24"/>
              </w:rPr>
              <w:t>個体の生長量</w:t>
            </w:r>
            <w:r w:rsidR="00F30431">
              <w:rPr>
                <w:rFonts w:ascii="ＭＳ ゴシック" w:eastAsia="ＭＳ ゴシック" w:hAnsi="ＭＳ ゴシック" w:hint="eastAsia"/>
                <w:sz w:val="24"/>
                <w:szCs w:val="24"/>
              </w:rPr>
              <w:t>や生育環境</w:t>
            </w:r>
            <w:r w:rsidRPr="008616A6">
              <w:rPr>
                <w:rFonts w:ascii="ＭＳ ゴシック" w:eastAsia="ＭＳ ゴシック" w:hAnsi="ＭＳ ゴシック"/>
                <w:sz w:val="24"/>
                <w:szCs w:val="24"/>
              </w:rPr>
              <w:t>の測定等を実施した。</w:t>
            </w:r>
            <w:r w:rsidR="00F30431">
              <w:rPr>
                <w:rFonts w:ascii="ＭＳ ゴシック" w:eastAsia="ＭＳ ゴシック" w:hAnsi="ＭＳ ゴシック" w:hint="eastAsia"/>
                <w:sz w:val="24"/>
                <w:szCs w:val="24"/>
              </w:rPr>
              <w:t>林床の</w:t>
            </w:r>
            <w:r w:rsidRPr="008616A6">
              <w:rPr>
                <w:rFonts w:ascii="ＭＳ ゴシック" w:eastAsia="ＭＳ ゴシック" w:hAnsi="ＭＳ ゴシック"/>
                <w:sz w:val="24"/>
                <w:szCs w:val="24"/>
              </w:rPr>
              <w:t>光環境</w:t>
            </w:r>
            <w:r w:rsidR="00F30431">
              <w:rPr>
                <w:rFonts w:ascii="ＭＳ ゴシック" w:eastAsia="ＭＳ ゴシック" w:hAnsi="ＭＳ ゴシック" w:hint="eastAsia"/>
                <w:sz w:val="24"/>
                <w:szCs w:val="24"/>
              </w:rPr>
              <w:t>に大きな影響を与える林冠の季節</w:t>
            </w:r>
            <w:r w:rsidRPr="008616A6">
              <w:rPr>
                <w:rFonts w:ascii="ＭＳ ゴシック" w:eastAsia="ＭＳ ゴシック" w:hAnsi="ＭＳ ゴシック"/>
                <w:sz w:val="24"/>
                <w:szCs w:val="24"/>
              </w:rPr>
              <w:t>変動を定量</w:t>
            </w:r>
            <w:r w:rsidR="00F30431">
              <w:rPr>
                <w:rFonts w:ascii="ＭＳ ゴシック" w:eastAsia="ＭＳ ゴシック" w:hAnsi="ＭＳ ゴシック" w:hint="eastAsia"/>
                <w:sz w:val="24"/>
                <w:szCs w:val="24"/>
              </w:rPr>
              <w:t>化したこと</w:t>
            </w:r>
            <w:r w:rsidRPr="008616A6">
              <w:rPr>
                <w:rFonts w:ascii="ＭＳ ゴシック" w:eastAsia="ＭＳ ゴシック" w:hAnsi="ＭＳ ゴシック"/>
                <w:sz w:val="24"/>
                <w:szCs w:val="24"/>
              </w:rPr>
              <w:t>に加え、オオバクロモジの生長</w:t>
            </w:r>
            <w:r w:rsidR="00F30431">
              <w:rPr>
                <w:rFonts w:ascii="ＭＳ ゴシック" w:eastAsia="ＭＳ ゴシック" w:hAnsi="ＭＳ ゴシック" w:hint="eastAsia"/>
                <w:sz w:val="24"/>
                <w:szCs w:val="24"/>
              </w:rPr>
              <w:t>が季節毎に異なることが分かった</w:t>
            </w:r>
            <w:r w:rsidRPr="008616A6">
              <w:rPr>
                <w:rFonts w:ascii="ＭＳ ゴシック" w:eastAsia="ＭＳ ゴシック" w:hAnsi="ＭＳ ゴシック"/>
                <w:sz w:val="24"/>
                <w:szCs w:val="24"/>
              </w:rPr>
              <w:t>。</w:t>
            </w:r>
            <w:r w:rsidR="00F30431">
              <w:rPr>
                <w:rFonts w:ascii="ＭＳ ゴシック" w:eastAsia="ＭＳ ゴシック" w:hAnsi="ＭＳ ゴシック" w:hint="eastAsia"/>
                <w:sz w:val="24"/>
                <w:szCs w:val="24"/>
              </w:rPr>
              <w:t>樹形解析の結果</w:t>
            </w:r>
            <w:r w:rsidRPr="008616A6">
              <w:rPr>
                <w:rFonts w:ascii="ＭＳ ゴシック" w:eastAsia="ＭＳ ゴシック" w:hAnsi="ＭＳ ゴシック"/>
                <w:sz w:val="24"/>
                <w:szCs w:val="24"/>
              </w:rPr>
              <w:t>、基部直径は天頂角0</w:t>
            </w:r>
            <w:r>
              <w:rPr>
                <w:rFonts w:ascii="ＭＳ ゴシック" w:eastAsia="ＭＳ ゴシック" w:hAnsi="ＭＳ ゴシック" w:hint="eastAsia"/>
                <w:sz w:val="24"/>
                <w:szCs w:val="24"/>
              </w:rPr>
              <w:t>～</w:t>
            </w:r>
            <w:r w:rsidRPr="008616A6">
              <w:rPr>
                <w:rFonts w:ascii="ＭＳ ゴシック" w:eastAsia="ＭＳ ゴシック" w:hAnsi="ＭＳ ゴシック"/>
                <w:sz w:val="24"/>
                <w:szCs w:val="24"/>
              </w:rPr>
              <w:t>30度の</w:t>
            </w:r>
            <w:r w:rsidR="00571CA5">
              <w:rPr>
                <w:rFonts w:ascii="ＭＳ ゴシック" w:eastAsia="ＭＳ ゴシック" w:hAnsi="ＭＳ ゴシック" w:hint="eastAsia"/>
                <w:sz w:val="24"/>
                <w:szCs w:val="24"/>
              </w:rPr>
              <w:t>林冠</w:t>
            </w:r>
            <w:r w:rsidRPr="008616A6">
              <w:rPr>
                <w:rFonts w:ascii="ＭＳ ゴシック" w:eastAsia="ＭＳ ゴシック" w:hAnsi="ＭＳ ゴシック"/>
                <w:sz w:val="24"/>
                <w:szCs w:val="24"/>
              </w:rPr>
              <w:t>空隙率と</w:t>
            </w:r>
            <w:r w:rsidR="00571CA5">
              <w:rPr>
                <w:rFonts w:ascii="ＭＳ ゴシック" w:eastAsia="ＭＳ ゴシック" w:hAnsi="ＭＳ ゴシック" w:hint="eastAsia"/>
                <w:sz w:val="24"/>
                <w:szCs w:val="24"/>
              </w:rPr>
              <w:t>正の</w:t>
            </w:r>
            <w:r w:rsidRPr="008616A6">
              <w:rPr>
                <w:rFonts w:ascii="ＭＳ ゴシック" w:eastAsia="ＭＳ ゴシック" w:hAnsi="ＭＳ ゴシック"/>
                <w:sz w:val="24"/>
                <w:szCs w:val="24"/>
              </w:rPr>
              <w:t>相関</w:t>
            </w:r>
            <w:r w:rsidR="00F30431">
              <w:rPr>
                <w:rFonts w:ascii="ＭＳ ゴシック" w:eastAsia="ＭＳ ゴシック" w:hAnsi="ＭＳ ゴシック" w:hint="eastAsia"/>
                <w:sz w:val="24"/>
                <w:szCs w:val="24"/>
              </w:rPr>
              <w:t>を示した一方で</w:t>
            </w:r>
            <w:r w:rsidRPr="008616A6">
              <w:rPr>
                <w:rFonts w:ascii="ＭＳ ゴシック" w:eastAsia="ＭＳ ゴシック" w:hAnsi="ＭＳ ゴシック"/>
                <w:sz w:val="24"/>
                <w:szCs w:val="24"/>
              </w:rPr>
              <w:t>、側枝の量</w:t>
            </w:r>
            <w:r w:rsidR="00F30431">
              <w:rPr>
                <w:rFonts w:ascii="ＭＳ ゴシック" w:eastAsia="ＭＳ ゴシック" w:hAnsi="ＭＳ ゴシック" w:hint="eastAsia"/>
                <w:sz w:val="24"/>
                <w:szCs w:val="24"/>
              </w:rPr>
              <w:t>（総枝長）</w:t>
            </w:r>
            <w:r w:rsidRPr="008616A6">
              <w:rPr>
                <w:rFonts w:ascii="ＭＳ ゴシック" w:eastAsia="ＭＳ ゴシック" w:hAnsi="ＭＳ ゴシック"/>
                <w:sz w:val="24"/>
                <w:szCs w:val="24"/>
              </w:rPr>
              <w:t>は天頂角30</w:t>
            </w:r>
            <w:r>
              <w:rPr>
                <w:rFonts w:ascii="ＭＳ ゴシック" w:eastAsia="ＭＳ ゴシック" w:hAnsi="ＭＳ ゴシック" w:hint="eastAsia"/>
                <w:sz w:val="24"/>
                <w:szCs w:val="24"/>
              </w:rPr>
              <w:t>～</w:t>
            </w:r>
            <w:r w:rsidRPr="008616A6">
              <w:rPr>
                <w:rFonts w:ascii="ＭＳ ゴシック" w:eastAsia="ＭＳ ゴシック" w:hAnsi="ＭＳ ゴシック"/>
                <w:sz w:val="24"/>
                <w:szCs w:val="24"/>
              </w:rPr>
              <w:t>60度の</w:t>
            </w:r>
            <w:r w:rsidR="00571CA5">
              <w:rPr>
                <w:rFonts w:ascii="ＭＳ ゴシック" w:eastAsia="ＭＳ ゴシック" w:hAnsi="ＭＳ ゴシック" w:hint="eastAsia"/>
                <w:sz w:val="24"/>
                <w:szCs w:val="24"/>
              </w:rPr>
              <w:t>林冠</w:t>
            </w:r>
            <w:r w:rsidRPr="008616A6">
              <w:rPr>
                <w:rFonts w:ascii="ＭＳ ゴシック" w:eastAsia="ＭＳ ゴシック" w:hAnsi="ＭＳ ゴシック"/>
                <w:sz w:val="24"/>
                <w:szCs w:val="24"/>
              </w:rPr>
              <w:t>空隙率と関係しており、受ける光の方向によって個体の成長様式が異なることが示唆された。</w:t>
            </w:r>
            <w:r w:rsidRPr="008616A6">
              <w:rPr>
                <w:rFonts w:ascii="ＭＳ ゴシック" w:eastAsia="ＭＳ ゴシック" w:hAnsi="ＭＳ ゴシック" w:hint="eastAsia"/>
                <w:sz w:val="24"/>
                <w:szCs w:val="24"/>
              </w:rPr>
              <w:t>今後は</w:t>
            </w:r>
            <w:r w:rsidR="00571CA5">
              <w:rPr>
                <w:rFonts w:ascii="ＭＳ ゴシック" w:eastAsia="ＭＳ ゴシック" w:hAnsi="ＭＳ ゴシック" w:hint="eastAsia"/>
                <w:sz w:val="24"/>
                <w:szCs w:val="24"/>
              </w:rPr>
              <w:t>林冠</w:t>
            </w:r>
            <w:r w:rsidRPr="008616A6">
              <w:rPr>
                <w:rFonts w:ascii="ＭＳ ゴシック" w:eastAsia="ＭＳ ゴシック" w:hAnsi="ＭＳ ゴシック" w:hint="eastAsia"/>
                <w:sz w:val="24"/>
                <w:szCs w:val="24"/>
              </w:rPr>
              <w:t>空隙率や混み合い度の調査</w:t>
            </w:r>
            <w:r w:rsidR="00571CA5">
              <w:rPr>
                <w:rFonts w:ascii="ＭＳ ゴシック" w:eastAsia="ＭＳ ゴシック" w:hAnsi="ＭＳ ゴシック" w:hint="eastAsia"/>
                <w:sz w:val="24"/>
                <w:szCs w:val="24"/>
              </w:rPr>
              <w:t>を追加すること</w:t>
            </w:r>
            <w:r w:rsidRPr="008616A6">
              <w:rPr>
                <w:rFonts w:ascii="ＭＳ ゴシック" w:eastAsia="ＭＳ ゴシック" w:hAnsi="ＭＳ ゴシック" w:hint="eastAsia"/>
                <w:sz w:val="24"/>
                <w:szCs w:val="24"/>
              </w:rPr>
              <w:t>により、本種の</w:t>
            </w:r>
            <w:r w:rsidR="00F30431">
              <w:rPr>
                <w:rFonts w:ascii="ＭＳ ゴシック" w:eastAsia="ＭＳ ゴシック" w:hAnsi="ＭＳ ゴシック" w:hint="eastAsia"/>
                <w:sz w:val="24"/>
                <w:szCs w:val="24"/>
              </w:rPr>
              <w:t>資源量</w:t>
            </w:r>
            <w:r w:rsidRPr="008616A6">
              <w:rPr>
                <w:rFonts w:ascii="ＭＳ ゴシック" w:eastAsia="ＭＳ ゴシック" w:hAnsi="ＭＳ ゴシック" w:hint="eastAsia"/>
                <w:sz w:val="24"/>
                <w:szCs w:val="24"/>
              </w:rPr>
              <w:t>に影響を及ぼす</w:t>
            </w:r>
            <w:r w:rsidR="00571CA5">
              <w:rPr>
                <w:rFonts w:ascii="ＭＳ ゴシック" w:eastAsia="ＭＳ ゴシック" w:hAnsi="ＭＳ ゴシック" w:hint="eastAsia"/>
                <w:sz w:val="24"/>
                <w:szCs w:val="24"/>
              </w:rPr>
              <w:t>要因</w:t>
            </w:r>
            <w:r w:rsidRPr="008616A6">
              <w:rPr>
                <w:rFonts w:ascii="ＭＳ ゴシック" w:eastAsia="ＭＳ ゴシック" w:hAnsi="ＭＳ ゴシック" w:hint="eastAsia"/>
                <w:sz w:val="24"/>
                <w:szCs w:val="24"/>
              </w:rPr>
              <w:t>を解明すると共に、樹皮からの距離ごとに</w:t>
            </w:r>
            <w:r w:rsidR="008F3BFB">
              <w:rPr>
                <w:rFonts w:ascii="ＭＳ ゴシック" w:eastAsia="ＭＳ ゴシック" w:hAnsi="ＭＳ ゴシック" w:hint="eastAsia"/>
                <w:sz w:val="24"/>
                <w:szCs w:val="24"/>
              </w:rPr>
              <w:t>枝や幹における</w:t>
            </w:r>
            <w:r w:rsidRPr="008616A6">
              <w:rPr>
                <w:rFonts w:ascii="ＭＳ ゴシック" w:eastAsia="ＭＳ ゴシック" w:hAnsi="ＭＳ ゴシック" w:hint="eastAsia"/>
                <w:sz w:val="24"/>
                <w:szCs w:val="24"/>
              </w:rPr>
              <w:t>精油の抽出・分析を行い、個体内</w:t>
            </w:r>
            <w:r w:rsidR="008F3BFB">
              <w:rPr>
                <w:rFonts w:ascii="ＭＳ ゴシック" w:eastAsia="ＭＳ ゴシック" w:hAnsi="ＭＳ ゴシック" w:hint="eastAsia"/>
                <w:sz w:val="24"/>
                <w:szCs w:val="24"/>
              </w:rPr>
              <w:t>における有効</w:t>
            </w:r>
            <w:r w:rsidRPr="008616A6">
              <w:rPr>
                <w:rFonts w:ascii="ＭＳ ゴシック" w:eastAsia="ＭＳ ゴシック" w:hAnsi="ＭＳ ゴシック" w:hint="eastAsia"/>
                <w:sz w:val="24"/>
                <w:szCs w:val="24"/>
              </w:rPr>
              <w:t>成分</w:t>
            </w:r>
            <w:r w:rsidR="008F3BFB">
              <w:rPr>
                <w:rFonts w:ascii="ＭＳ ゴシック" w:eastAsia="ＭＳ ゴシック" w:hAnsi="ＭＳ ゴシック" w:hint="eastAsia"/>
                <w:sz w:val="24"/>
                <w:szCs w:val="24"/>
              </w:rPr>
              <w:t>の</w:t>
            </w:r>
            <w:r w:rsidRPr="008616A6">
              <w:rPr>
                <w:rFonts w:ascii="ＭＳ ゴシック" w:eastAsia="ＭＳ ゴシック" w:hAnsi="ＭＳ ゴシック" w:hint="eastAsia"/>
                <w:sz w:val="24"/>
                <w:szCs w:val="24"/>
              </w:rPr>
              <w:t>分布を明らかにする。</w:t>
            </w:r>
          </w:p>
        </w:tc>
      </w:tr>
      <w:tr w:rsidR="00D90D1D" w:rsidRPr="00E15BEB" w14:paraId="120B79E7" w14:textId="77777777" w:rsidTr="00D90D1D">
        <w:tc>
          <w:tcPr>
            <w:tcW w:w="2972" w:type="dxa"/>
          </w:tcPr>
          <w:p w14:paraId="38954C28" w14:textId="77777777" w:rsidR="00C92B3F" w:rsidRPr="00571CA5" w:rsidRDefault="00C92B3F" w:rsidP="00264113">
            <w:pPr>
              <w:jc w:val="left"/>
              <w:rPr>
                <w:rFonts w:ascii="ＭＳ ゴシック" w:eastAsia="ＭＳ ゴシック" w:hAnsi="ＭＳ ゴシック"/>
                <w:sz w:val="22"/>
              </w:rPr>
            </w:pPr>
          </w:p>
          <w:p w14:paraId="3D06CC05" w14:textId="6FBAADB8" w:rsidR="00C92B3F" w:rsidRPr="00264113" w:rsidRDefault="00D90D1D" w:rsidP="00264113">
            <w:pPr>
              <w:jc w:val="left"/>
              <w:rPr>
                <w:rFonts w:ascii="ＭＳ ゴシック" w:eastAsia="ＭＳ ゴシック" w:hAnsi="ＭＳ ゴシック"/>
                <w:sz w:val="22"/>
              </w:rPr>
            </w:pPr>
            <w:r w:rsidRPr="00264113">
              <w:rPr>
                <w:rFonts w:ascii="ＭＳ ゴシック" w:eastAsia="ＭＳ ゴシック" w:hAnsi="ＭＳ ゴシック" w:hint="eastAsia"/>
                <w:sz w:val="22"/>
              </w:rPr>
              <w:t>当初予定と変更が</w:t>
            </w:r>
            <w:r w:rsidR="00264113" w:rsidRPr="00264113">
              <w:rPr>
                <w:rFonts w:ascii="ＭＳ ゴシック" w:eastAsia="ＭＳ ゴシック" w:hAnsi="ＭＳ ゴシック" w:hint="eastAsia"/>
                <w:sz w:val="22"/>
              </w:rPr>
              <w:t>ある場合は変更点を</w:t>
            </w:r>
            <w:r w:rsidRPr="00264113">
              <w:rPr>
                <w:rFonts w:ascii="ＭＳ ゴシック" w:eastAsia="ＭＳ ゴシック" w:hAnsi="ＭＳ ゴシック" w:hint="eastAsia"/>
                <w:sz w:val="22"/>
              </w:rPr>
              <w:t>記述ください</w:t>
            </w:r>
            <w:r w:rsidR="00EB57B2">
              <w:rPr>
                <w:rFonts w:ascii="ＭＳ ゴシック" w:eastAsia="ＭＳ ゴシック" w:hAnsi="ＭＳ ゴシック" w:hint="eastAsia"/>
                <w:sz w:val="22"/>
              </w:rPr>
              <w:t>。</w:t>
            </w:r>
          </w:p>
          <w:p w14:paraId="2B2FB719" w14:textId="77777777" w:rsidR="00D90D1D" w:rsidRPr="00E15BEB" w:rsidRDefault="00D90D1D" w:rsidP="00264113">
            <w:pPr>
              <w:jc w:val="left"/>
              <w:rPr>
                <w:rFonts w:ascii="ＭＳ ゴシック" w:eastAsia="ＭＳ ゴシック" w:hAnsi="ＭＳ ゴシック"/>
                <w:sz w:val="24"/>
                <w:szCs w:val="24"/>
              </w:rPr>
            </w:pPr>
          </w:p>
        </w:tc>
        <w:tc>
          <w:tcPr>
            <w:tcW w:w="6764" w:type="dxa"/>
          </w:tcPr>
          <w:p w14:paraId="609011E5" w14:textId="050ABCCF" w:rsidR="00D90D1D" w:rsidRPr="00C92B3F" w:rsidRDefault="00D90D1D">
            <w:pPr>
              <w:rPr>
                <w:rFonts w:ascii="ＭＳ ゴシック" w:eastAsia="ＭＳ ゴシック" w:hAnsi="ＭＳ ゴシック"/>
                <w:sz w:val="24"/>
                <w:szCs w:val="24"/>
              </w:rPr>
            </w:pPr>
          </w:p>
        </w:tc>
      </w:tr>
    </w:tbl>
    <w:p w14:paraId="268B6546" w14:textId="77777777" w:rsidR="00E17B44" w:rsidRDefault="00E17B44" w:rsidP="00A9539D">
      <w:pPr>
        <w:ind w:firstLineChars="100" w:firstLine="240"/>
        <w:rPr>
          <w:rFonts w:ascii="ＭＳ ゴシック" w:eastAsia="ＭＳ ゴシック" w:hAnsi="ＭＳ ゴシック"/>
          <w:sz w:val="24"/>
          <w:szCs w:val="24"/>
        </w:rPr>
      </w:pPr>
    </w:p>
    <w:p w14:paraId="5E6FBD61" w14:textId="4BB70A0F" w:rsidR="008F5DDA" w:rsidRDefault="00D12252" w:rsidP="00A9539D">
      <w:pPr>
        <w:ind w:firstLineChars="100" w:firstLine="210"/>
        <w:rPr>
          <w:rFonts w:ascii="ＭＳ ゴシック" w:eastAsia="ＭＳ ゴシック" w:hAnsi="ＭＳ ゴシック"/>
          <w:sz w:val="24"/>
          <w:szCs w:val="24"/>
        </w:rPr>
      </w:pPr>
      <w:r>
        <w:rPr>
          <w:noProof/>
        </w:rPr>
        <w:lastRenderedPageBreak/>
        <w:drawing>
          <wp:inline distT="0" distB="0" distL="0" distR="0" wp14:anchorId="63F775E9" wp14:editId="11357ADC">
            <wp:extent cx="6096000" cy="4095750"/>
            <wp:effectExtent l="0" t="0" r="0" b="0"/>
            <wp:docPr id="16009826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0" cy="4095750"/>
                    </a:xfrm>
                    <a:prstGeom prst="rect">
                      <a:avLst/>
                    </a:prstGeom>
                    <a:noFill/>
                    <a:ln>
                      <a:noFill/>
                    </a:ln>
                  </pic:spPr>
                </pic:pic>
              </a:graphicData>
            </a:graphic>
          </wp:inline>
        </w:drawing>
      </w:r>
    </w:p>
    <w:p w14:paraId="2C272ADF" w14:textId="4B706811" w:rsidR="008F5DDA" w:rsidRDefault="00D12252" w:rsidP="00A9539D">
      <w:pPr>
        <w:ind w:firstLineChars="100" w:firstLine="210"/>
        <w:rPr>
          <w:rFonts w:ascii="ＭＳ ゴシック" w:eastAsia="ＭＳ ゴシック" w:hAnsi="ＭＳ ゴシック"/>
          <w:sz w:val="24"/>
          <w:szCs w:val="24"/>
        </w:rPr>
      </w:pPr>
      <w:r>
        <w:t>1）「全天写真解析.</w:t>
      </w:r>
      <w:proofErr w:type="spellStart"/>
      <w:r>
        <w:t>png</w:t>
      </w:r>
      <w:proofErr w:type="spellEnd"/>
      <w:r>
        <w:t>」：撮影した全天写真の画像解析ソフトCanopOn2による解析</w:t>
      </w:r>
      <w:r>
        <w:br/>
      </w:r>
    </w:p>
    <w:p w14:paraId="0882A4C0" w14:textId="78CD2F44" w:rsidR="00D12252" w:rsidRDefault="00D12252" w:rsidP="00A9539D">
      <w:pPr>
        <w:ind w:firstLineChars="100" w:firstLine="210"/>
        <w:rPr>
          <w:rFonts w:ascii="ＭＳ ゴシック" w:eastAsia="ＭＳ ゴシック" w:hAnsi="ＭＳ ゴシック"/>
          <w:sz w:val="24"/>
          <w:szCs w:val="24"/>
        </w:rPr>
      </w:pPr>
      <w:r>
        <w:rPr>
          <w:noProof/>
        </w:rPr>
        <w:lastRenderedPageBreak/>
        <w:drawing>
          <wp:inline distT="0" distB="0" distL="0" distR="0" wp14:anchorId="638B2D53" wp14:editId="3D9E3111">
            <wp:extent cx="6096000" cy="4572000"/>
            <wp:effectExtent l="0" t="0" r="0" b="0"/>
            <wp:docPr id="180431443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14:paraId="3B2BB77C" w14:textId="2ED01858" w:rsidR="00D12252" w:rsidRDefault="00D12252" w:rsidP="00A9539D">
      <w:pPr>
        <w:ind w:firstLineChars="100" w:firstLine="210"/>
        <w:rPr>
          <w:rFonts w:ascii="ＭＳ ゴシック" w:eastAsia="ＭＳ ゴシック" w:hAnsi="ＭＳ ゴシック"/>
          <w:sz w:val="24"/>
          <w:szCs w:val="24"/>
        </w:rPr>
      </w:pPr>
      <w:r>
        <w:t>2）「再生状況.jpg」：採取による損傷に対してオオバクロモジ個体が回復している様子</w:t>
      </w:r>
      <w:r>
        <w:br/>
      </w:r>
    </w:p>
    <w:p w14:paraId="3E06C7DC" w14:textId="0458C295" w:rsidR="00D12252" w:rsidRDefault="00D12252" w:rsidP="00A9539D">
      <w:pPr>
        <w:ind w:firstLineChars="100" w:firstLine="210"/>
        <w:rPr>
          <w:rFonts w:ascii="ＭＳ ゴシック" w:eastAsia="ＭＳ ゴシック" w:hAnsi="ＭＳ ゴシック"/>
          <w:sz w:val="24"/>
          <w:szCs w:val="24"/>
        </w:rPr>
      </w:pPr>
      <w:r>
        <w:rPr>
          <w:noProof/>
        </w:rPr>
        <w:lastRenderedPageBreak/>
        <w:drawing>
          <wp:inline distT="0" distB="0" distL="0" distR="0" wp14:anchorId="10624DB0" wp14:editId="1493C77D">
            <wp:extent cx="4581525" cy="4705350"/>
            <wp:effectExtent l="0" t="0" r="9525" b="0"/>
            <wp:docPr id="130931530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81525" cy="4705350"/>
                    </a:xfrm>
                    <a:prstGeom prst="rect">
                      <a:avLst/>
                    </a:prstGeom>
                    <a:noFill/>
                    <a:ln>
                      <a:noFill/>
                    </a:ln>
                  </pic:spPr>
                </pic:pic>
              </a:graphicData>
            </a:graphic>
          </wp:inline>
        </w:drawing>
      </w:r>
    </w:p>
    <w:p w14:paraId="038C3B1C" w14:textId="2D6987AA" w:rsidR="00D12252" w:rsidRPr="008F5DDA" w:rsidRDefault="00D12252" w:rsidP="00A9539D">
      <w:pPr>
        <w:ind w:firstLineChars="100" w:firstLine="210"/>
        <w:rPr>
          <w:rFonts w:ascii="ＭＳ ゴシック" w:eastAsia="ＭＳ ゴシック" w:hAnsi="ＭＳ ゴシック" w:hint="eastAsia"/>
          <w:sz w:val="24"/>
          <w:szCs w:val="24"/>
        </w:rPr>
      </w:pPr>
      <w:r>
        <w:t>3）「記録中.jpg」：調査の様子</w:t>
      </w:r>
    </w:p>
    <w:sectPr w:rsidR="00D12252" w:rsidRPr="008F5DDA" w:rsidSect="005859F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82CFC" w14:textId="77777777" w:rsidR="00511DE2" w:rsidRDefault="00511DE2" w:rsidP="005404C0">
      <w:r>
        <w:separator/>
      </w:r>
    </w:p>
  </w:endnote>
  <w:endnote w:type="continuationSeparator" w:id="0">
    <w:p w14:paraId="5A06D4F3" w14:textId="77777777" w:rsidR="00511DE2" w:rsidRDefault="00511DE2" w:rsidP="00540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C2000" w14:textId="77777777" w:rsidR="00511DE2" w:rsidRDefault="00511DE2" w:rsidP="005404C0">
      <w:r>
        <w:separator/>
      </w:r>
    </w:p>
  </w:footnote>
  <w:footnote w:type="continuationSeparator" w:id="0">
    <w:p w14:paraId="1A7340FF" w14:textId="77777777" w:rsidR="00511DE2" w:rsidRDefault="00511DE2" w:rsidP="00540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65E4F"/>
    <w:multiLevelType w:val="hybridMultilevel"/>
    <w:tmpl w:val="4CF49154"/>
    <w:lvl w:ilvl="0" w:tplc="B0F650C6">
      <w:start w:val="1"/>
      <w:numFmt w:val="decimalEnclosedCircle"/>
      <w:lvlText w:val="%1"/>
      <w:lvlJc w:val="left"/>
      <w:pPr>
        <w:ind w:left="360" w:hanging="36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9150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9F4"/>
    <w:rsid w:val="00004713"/>
    <w:rsid w:val="0008703F"/>
    <w:rsid w:val="000C52EF"/>
    <w:rsid w:val="001061D0"/>
    <w:rsid w:val="001176C0"/>
    <w:rsid w:val="001C6399"/>
    <w:rsid w:val="001E07F4"/>
    <w:rsid w:val="00264113"/>
    <w:rsid w:val="00314E70"/>
    <w:rsid w:val="003328DF"/>
    <w:rsid w:val="003D7904"/>
    <w:rsid w:val="003E08C3"/>
    <w:rsid w:val="004A1F95"/>
    <w:rsid w:val="00511DE2"/>
    <w:rsid w:val="005364AE"/>
    <w:rsid w:val="005404C0"/>
    <w:rsid w:val="0054437F"/>
    <w:rsid w:val="00571CA5"/>
    <w:rsid w:val="005859F4"/>
    <w:rsid w:val="00596A16"/>
    <w:rsid w:val="005B7D75"/>
    <w:rsid w:val="005E148D"/>
    <w:rsid w:val="006A7CB1"/>
    <w:rsid w:val="007C6EDE"/>
    <w:rsid w:val="008616A6"/>
    <w:rsid w:val="0089627D"/>
    <w:rsid w:val="008F3BFB"/>
    <w:rsid w:val="008F5DDA"/>
    <w:rsid w:val="009159DB"/>
    <w:rsid w:val="00965CCD"/>
    <w:rsid w:val="00965D26"/>
    <w:rsid w:val="009B5616"/>
    <w:rsid w:val="009E70BD"/>
    <w:rsid w:val="00A22EA8"/>
    <w:rsid w:val="00A550E3"/>
    <w:rsid w:val="00A9539D"/>
    <w:rsid w:val="00AA0388"/>
    <w:rsid w:val="00B25C08"/>
    <w:rsid w:val="00B45CAF"/>
    <w:rsid w:val="00B70D18"/>
    <w:rsid w:val="00B9241E"/>
    <w:rsid w:val="00BC7553"/>
    <w:rsid w:val="00C17290"/>
    <w:rsid w:val="00C24C18"/>
    <w:rsid w:val="00C5455C"/>
    <w:rsid w:val="00C711F6"/>
    <w:rsid w:val="00C92B3F"/>
    <w:rsid w:val="00D12252"/>
    <w:rsid w:val="00D43ECA"/>
    <w:rsid w:val="00D90D1D"/>
    <w:rsid w:val="00DB3EAA"/>
    <w:rsid w:val="00DF277F"/>
    <w:rsid w:val="00DF4F9F"/>
    <w:rsid w:val="00E1540A"/>
    <w:rsid w:val="00E15BEB"/>
    <w:rsid w:val="00E17B44"/>
    <w:rsid w:val="00EB57B2"/>
    <w:rsid w:val="00ED484C"/>
    <w:rsid w:val="00F30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4066D8"/>
  <w15:chartTrackingRefBased/>
  <w15:docId w15:val="{21DA379E-1C7E-4F41-B8C4-C09DA2BD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539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539D"/>
    <w:rPr>
      <w:rFonts w:asciiTheme="majorHAnsi" w:eastAsiaTheme="majorEastAsia" w:hAnsiTheme="majorHAnsi" w:cstheme="majorBidi"/>
      <w:sz w:val="18"/>
      <w:szCs w:val="18"/>
    </w:rPr>
  </w:style>
  <w:style w:type="paragraph" w:styleId="Web">
    <w:name w:val="Normal (Web)"/>
    <w:basedOn w:val="a"/>
    <w:uiPriority w:val="99"/>
    <w:unhideWhenUsed/>
    <w:rsid w:val="00E17B44"/>
    <w:pPr>
      <w:widowControl/>
      <w:spacing w:before="100" w:beforeAutospacing="1" w:after="100" w:afterAutospacing="1"/>
    </w:pPr>
    <w:rPr>
      <w:rFonts w:ascii="Yu Gothic" w:eastAsia="Yu Gothic" w:hAnsi="Yu Gothic" w:cs="ＭＳ Ｐゴシック"/>
      <w:kern w:val="0"/>
      <w:szCs w:val="21"/>
    </w:rPr>
  </w:style>
  <w:style w:type="paragraph" w:styleId="a6">
    <w:name w:val="header"/>
    <w:basedOn w:val="a"/>
    <w:link w:val="a7"/>
    <w:uiPriority w:val="99"/>
    <w:unhideWhenUsed/>
    <w:rsid w:val="005404C0"/>
    <w:pPr>
      <w:tabs>
        <w:tab w:val="center" w:pos="4252"/>
        <w:tab w:val="right" w:pos="8504"/>
      </w:tabs>
      <w:snapToGrid w:val="0"/>
    </w:pPr>
  </w:style>
  <w:style w:type="character" w:customStyle="1" w:styleId="a7">
    <w:name w:val="ヘッダー (文字)"/>
    <w:basedOn w:val="a0"/>
    <w:link w:val="a6"/>
    <w:uiPriority w:val="99"/>
    <w:rsid w:val="005404C0"/>
  </w:style>
  <w:style w:type="paragraph" w:styleId="a8">
    <w:name w:val="footer"/>
    <w:basedOn w:val="a"/>
    <w:link w:val="a9"/>
    <w:uiPriority w:val="99"/>
    <w:unhideWhenUsed/>
    <w:rsid w:val="005404C0"/>
    <w:pPr>
      <w:tabs>
        <w:tab w:val="center" w:pos="4252"/>
        <w:tab w:val="right" w:pos="8504"/>
      </w:tabs>
      <w:snapToGrid w:val="0"/>
    </w:pPr>
  </w:style>
  <w:style w:type="character" w:customStyle="1" w:styleId="a9">
    <w:name w:val="フッター (文字)"/>
    <w:basedOn w:val="a0"/>
    <w:link w:val="a8"/>
    <w:uiPriority w:val="99"/>
    <w:rsid w:val="00540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53668">
      <w:bodyDiv w:val="1"/>
      <w:marLeft w:val="0"/>
      <w:marRight w:val="0"/>
      <w:marTop w:val="0"/>
      <w:marBottom w:val="0"/>
      <w:divBdr>
        <w:top w:val="none" w:sz="0" w:space="0" w:color="auto"/>
        <w:left w:val="none" w:sz="0" w:space="0" w:color="auto"/>
        <w:bottom w:val="none" w:sz="0" w:space="0" w:color="auto"/>
        <w:right w:val="none" w:sz="0" w:space="0" w:color="auto"/>
      </w:divBdr>
    </w:div>
    <w:div w:id="173435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138</Words>
  <Characters>793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事務局 大学コンソーシアム富山</cp:lastModifiedBy>
  <cp:revision>3</cp:revision>
  <cp:lastPrinted>2023-10-19T12:24:00Z</cp:lastPrinted>
  <dcterms:created xsi:type="dcterms:W3CDTF">2026-10-09T05:54:00Z</dcterms:created>
  <dcterms:modified xsi:type="dcterms:W3CDTF">2026-10-09T06:16:00Z</dcterms:modified>
</cp:coreProperties>
</file>